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Aneby kommunfullmäktige</w:t>
      </w:r>
    </w:p>
    <w:p>
      <w:pPr>
        <w:pStyle w:val="Heading1"/>
      </w:pPr>
      <w:r>
        <w:t xml:space="preserve">Tidiga insatser för bättre skolresultat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Aneby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Aneby har meritvärde 215 i årskurs 9 (Kolada 2024), under rikssnitt. Tidiga stödinsatser saknas i lågstadiet vilket leder till ökade kostnader senare. Liberalerna vill prioritera läs- och skrivutveckling från årskurs 1.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Aneby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screening för läs- och skrivsvårigheter i årskurs 1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anställa två extra speciallärare med inriktning på tidiga insatser.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1,2 mnkr årligen för kompetensutveckling i strukturerad läsundervisning.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resultat av insatserna i delårsrapporten 2028.</w:t>
      </w:r>
    </w:p>
    <w:p>
      <w:pPr>
        <w:spacing w:before="360"/>
      </w:pPr>
    </w:p>
    <w:p>
      <w:r>
        <w:t xml:space="preserve">Aneby,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Aneby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2026-07-13T23:31:30.464Z</dcterms:created>
  <dcterms:modified xsi:type="dcterms:W3CDTF">2026-07-13T23:31:30.464Z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